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B0" w:rsidRPr="007B3BB0" w:rsidRDefault="007B3BB0" w:rsidP="007B3BB0">
      <w:pPr>
        <w:spacing w:before="150" w:after="450" w:line="240" w:lineRule="auto"/>
        <w:outlineLvl w:val="0"/>
        <w:rPr>
          <w:rFonts w:ascii="Times" w:eastAsia="Times New Roman" w:hAnsi="Times" w:cs="Times"/>
          <w:color w:val="333333"/>
          <w:kern w:val="36"/>
          <w:sz w:val="42"/>
          <w:szCs w:val="42"/>
          <w:lang w:eastAsia="ru-RU"/>
        </w:rPr>
      </w:pPr>
      <w:bookmarkStart w:id="0" w:name="_GoBack"/>
      <w:r w:rsidRPr="007B3BB0">
        <w:rPr>
          <w:rFonts w:ascii="Times" w:eastAsia="Times New Roman" w:hAnsi="Times" w:cs="Times"/>
          <w:color w:val="333333"/>
          <w:kern w:val="36"/>
          <w:sz w:val="42"/>
          <w:szCs w:val="42"/>
          <w:lang w:eastAsia="ru-RU"/>
        </w:rPr>
        <w:t>РАСПОРЯЖЕНИЕ №11 от 03 июля 2018г.</w:t>
      </w:r>
    </w:p>
    <w:bookmarkEnd w:id="0"/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«Об организации охоты на пернатую дичь с подружейными собаками и ловчими птицами в летне-осеннем сезоне 2018»</w:t>
      </w:r>
    </w:p>
    <w:p w:rsidR="007B3BB0" w:rsidRPr="007B3BB0" w:rsidRDefault="007B3BB0" w:rsidP="007B3BB0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РАСПОРЯЖЕНИЕ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соответствие с Федеральным Законом "Об охоте" № 209-ФЗ от 24 июля 2009 г ( в </w:t>
      </w:r>
      <w:proofErr w:type="spellStart"/>
      <w:proofErr w:type="gram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</w:t>
      </w:r>
      <w:proofErr w:type="spellEnd"/>
      <w:proofErr w:type="gram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29.07.2017г). , Правилами охоты в ред. Приказа Минприроды России от 16.11.2010 № 512 (в ред. от 21.03.2018г),Постановления Губернатора Московской области от 31.10.2012г (в ред. от 22.12.2017)"О видах разрешенной охоты и параметрах осуществления охоты в охотничьих угодьях Московской области", Распоряжением от 12.04.2012 г. № 48 «Об утверждении норм допустимой добычи охотничьих ресурсов, в отношении которых не устанавливается лимит 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добычи</w:t>
      </w:r>
      <w:proofErr w:type="gram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,и</w:t>
      </w:r>
      <w:proofErr w:type="spellEnd"/>
      <w:proofErr w:type="gram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норм пропускной способности охотничьих угодий на территории Московской области», приказом Минприроды 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Россииот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29 августа 2014 г.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N 379 "Об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птиц":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Руководителям ОРХ МСОО «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МООиР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организовать охоту на пернатую дичь с собаками охотничьих пород 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(континентальными и островными легавыми, </w:t>
      </w:r>
      <w:proofErr w:type="spellStart"/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ретриверами</w:t>
      </w:r>
      <w:proofErr w:type="spellEnd"/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и спаниелями)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ловчими птицами в летне-осеннем сезоне 2018 года, выдачу разрешений на добычу охотничьих ресурсов и путевок на охоту в следующие сроки: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1 . </w:t>
      </w:r>
      <w:r w:rsidRPr="007B3BB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 собаками перечисленных выше породных групп (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без применения охотничьего огнестрельного и (или) пневматического оружия):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болотно-луговую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(бекас, гаршнеп, коростель, дупель (дупель – кроме гнездовой популяции) и др., см п. 35.2 Правил охоты) - с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 июля по 24 июля 2018 г.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(п. 44.1);</w:t>
      </w:r>
      <w:proofErr w:type="gramEnd"/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полевую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дичь (серая куропатка, перепел, вяхирь, горлицы) – с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 июля по 04 августа 2018 г.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(п.44.3).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 </w:t>
      </w:r>
      <w:proofErr w:type="gramStart"/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водоплавающею</w:t>
      </w:r>
      <w:proofErr w:type="gramEnd"/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дичь (утки, гуси, лысуха) – с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01 августа до 11 августа 2018 г. 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(п.46).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1.1. </w:t>
      </w:r>
      <w:r w:rsidRPr="007B3BB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 собаками перечисленных выше породных групп и ловчими птицами: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болотно-луговую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(бекас, гаршнеп, коростель дупель (дупель – кроме гнездовой популяции) и др., см п. 35.2 Правил охоты) - с утренней зари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25 июля по 15 ноября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(п. 44.2);</w:t>
      </w:r>
      <w:proofErr w:type="gramEnd"/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боровую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(рябчик, вальдшнеп) и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полевую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дичь (серая куропатка, перепел, вяхирь, горлицы) – с утренней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зари 05 августа по 31 декабря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2018 г. (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п.44.4).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</w:t>
      </w:r>
      <w:proofErr w:type="gram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Охота на пернатую дичь 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 одной подружейной собакой может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осуществляться с участием 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не более трех охотников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каждый из которых должен иметь охотничий билет, действующее разрешение на хранение и ношение охотничьего оружия, разрешение на добычу охотничьих ресурсов и путевку, выданные в установленном порядке (п.3.2 а, б, г; п. 45 Правил).</w:t>
      </w:r>
      <w:proofErr w:type="gramEnd"/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 Охота с ловчими птицами на пернатую дичь осуществляется в период с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25 июля по 31 декабря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(п. 48). В случае осуществления охоты 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 ловчими птицами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помимо охотничьего билета, разрешения и путевки, необходимо 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разрешение на содержание и разведение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таковых в 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полувольных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условиях или искусственно созданной среде обитания (п. 52 ФЗ «О животном мире»).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При использовании на охоте собаки или (и) ловчей птицы, они должны быть вписаны в путевку.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1.5.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связи с неблагополучием ряда районов области </w:t>
      </w:r>
      <w:r w:rsidRPr="007B3BB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по 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бешенству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оформлять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документы на охоту с применением собак только при наличии действующей отметки в ветеринарном свидетельстве о вакцинации данной собаки от бешенства. Инструктировать охотников о 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мерахветеринарно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-санитарной безопасности.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2. 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нормам допустимой добычи пернатой дичи 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 одного охотника в день (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п. II 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Приложения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к распоряжению Минсельхоза 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М.</w:t>
      </w:r>
      <w:proofErr w:type="gram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proofErr w:type="spellEnd"/>
      <w:proofErr w:type="gram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от 12.04.2012 № 48) составляют: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2.1. </w:t>
      </w:r>
      <w:r w:rsidRPr="007B3BB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Боровая дичь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Рябчик – 2, вальдшнеп - 5 особей в сутки на одного охотника.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Глухарь - 1 особь за сезон охоты на одно охотничье угодье (охотничье хозяйство).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Тетерев - 1 особь за сезон охоты на одно охотничье угодье (охотничье хозяйство).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2.2. </w:t>
      </w:r>
      <w:r w:rsidRPr="007B3BB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Болотно-луговая дичь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10 особей в сутки на одного охотника.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2.3. </w:t>
      </w:r>
      <w:r w:rsidRPr="007B3BB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Полевая дичь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Серая куропатка - 2, перепел – 10, вяхирь - 5, горлицы - 5 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особейв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сутки на одного охотника.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3. 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организации проведения охоты руководствоваться действующим законодательством, настоящим распоряжением, а также 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прейскурантом на услуги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утвержденным Советом МСОО "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МООиР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(протокол № 3 от 29 марта 2017 г. Веден в действие 29.03.2017 г).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Прейскурант размещен на сайте МСОО «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МООиР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http://www.mooir.ru/predus/price_ohot_osen_2014/)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В связи с неблагополучной санитарно-эпидемиологической обстановкой в регионе, штатным сотрудникам проводить разъяснительную работу среди охотников о наличии угрозы 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проявленияАЧС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мерах профилактики и соблюдении правил санитарной безопасности при нахождении в 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охотугодьях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 случае обнаружения в охотничьих угодьях 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погибшего животного, случаев массовой гибели, либо - явных признаках заболевания </w:t>
      </w:r>
      <w:proofErr w:type="spellStart"/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животных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ОХОТНИК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ШТАТНЫЙ СОТРУДНИК 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охотпользователя</w:t>
      </w:r>
      <w:proofErr w:type="spellEnd"/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7B3BB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обязан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 в возможно короткий срок уведомить о данном факте должностное лицо специально уполномоченного государственного органа Московской области (Управление охоты и охотничьих ресурсов) и (или) СББЖ данного района. Руководителям хозяйств разместить контактные телефоны районных СББЖ, территориальных отделов </w:t>
      </w:r>
      <w:proofErr w:type="spellStart"/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охотнадзора</w:t>
      </w:r>
      <w:proofErr w:type="spellEnd"/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, в местах оформления документов на охоту.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5. 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Руководителям охотничьих хозяй</w:t>
      </w:r>
      <w:proofErr w:type="gram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 вз</w:t>
      </w:r>
      <w:proofErr w:type="gram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ять под личный контроль 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готовность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охотничьих баз, инвентаря и оборудования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 приему охотников. Обратить особое внимание на качество обслуживания и соблюдение штатным составом своих должностных обязанностей. Неукоснительно соблюдать и инструктировать охотников по правилам пожарной безопасности.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Руководителям структурных подразделений осуществлять постоянный контроль правильности оформления документов на охоту</w:t>
      </w: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Штатным работникам 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охотхозяйств и обществ: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оказывать консультационную и практическую помощь охотникам при организации охоты;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строго соблюдать нормы пропускной способности охотничьих угодий.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6.1. Пропускная способность охотничьих угодий при производстве охоты на боровую дичь, за исключением глухаря и тетерева, в летне-осенний период устанавливается из расчета 5 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галесных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участков на одного охотника.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Пропускная способность охотничьих угодий при производстве охоты на глухаря и тетерева в летне-осенний период устанавливается из расчета - одно охотничье угодье (охотничье хозяйство) на одного охотника.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6.3. Пропускная способность охотничьих угодий при производстве охоты на полевую дичь в летне-осенний период устанавливается из расчета 5 га полевых угодий на одного охотника.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6.4. Пропускная способность охотничьих угодий при производстве охоты на болотно-луговую дичь в летне-осенний период устанавливается из расчета 5 га водно-болотных и полевых угодий на одного охотника.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7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Руководителям структурных подразделений МСОО "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МООиР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контролировать правильность оформления разрешений и путевок на охоту подотчетными лицами; принять меры для максимального возврата разрешений. </w:t>
      </w:r>
      <w:r w:rsidRPr="007B3BB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Требовать от охотников обязательного заполнения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таблиц данными по количеству и видовому составу добытых охотничьих ресурсов, а в случае, если охота оказалась нерезультативной, делать соответствующую отметку. Разъяснять охотникам необходимость сдачи </w:t>
      </w:r>
      <w:r w:rsidRPr="007B3BB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заполненных 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разрешений в</w:t>
      </w:r>
      <w:r w:rsidRPr="007B3BB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 установленные сроки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для практики ведения охотничьего хозяйства.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8. 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Руководителям структурных подразделений, руководителям городских обществ охотников и рыболовов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 31 января 2019 г.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7B3BB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сдать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отдел охоты и рыболовства Правления МСОО «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МООиР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 </w:t>
      </w:r>
      <w:r w:rsidRPr="007B3BB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отчет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 количестве и видовом составе изъятой дичи и </w:t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сведения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 количестве выданных и возвращенных разрешений и путевок.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9. 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исполнения настоящего Приказа возложить на заместителя Председателя Правления МСОО "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МООиР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" </w:t>
      </w:r>
      <w:proofErr w:type="spellStart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Захаркина</w:t>
      </w:r>
      <w:proofErr w:type="spellEnd"/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В.И..</w:t>
      </w:r>
    </w:p>
    <w:p w:rsidR="007B3BB0" w:rsidRPr="007B3BB0" w:rsidRDefault="007B3BB0" w:rsidP="007B3B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Председатель Правления </w:t>
      </w:r>
      <w:r w:rsidRPr="007B3B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МСОО «</w:t>
      </w:r>
      <w:proofErr w:type="spellStart"/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МООиР</w:t>
      </w:r>
      <w:proofErr w:type="spellEnd"/>
      <w:r w:rsidRPr="007B3B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 В.М. Кирьякулов</w:t>
      </w:r>
    </w:p>
    <w:p w:rsidR="00DB19B7" w:rsidRDefault="00DB19B7"/>
    <w:sectPr w:rsidR="00DB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66"/>
    <w:rsid w:val="007B3BB0"/>
    <w:rsid w:val="00DB19B7"/>
    <w:rsid w:val="00E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Дьяконов</dc:creator>
  <cp:keywords/>
  <dc:description/>
  <cp:lastModifiedBy>Дмитрий Дьяконов</cp:lastModifiedBy>
  <cp:revision>3</cp:revision>
  <dcterms:created xsi:type="dcterms:W3CDTF">2018-07-06T06:16:00Z</dcterms:created>
  <dcterms:modified xsi:type="dcterms:W3CDTF">2018-07-06T06:16:00Z</dcterms:modified>
</cp:coreProperties>
</file>